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96F03C">
      <w:pPr>
        <w:numPr>
          <w:ilvl w:val="0"/>
          <w:numId w:val="1"/>
        </w:numPr>
        <w:rPr>
          <w:rFonts w:hint="eastAsia"/>
          <w:sz w:val="28"/>
          <w:szCs w:val="28"/>
        </w:rPr>
      </w:pPr>
      <w:r>
        <w:rPr>
          <w:rFonts w:hint="eastAsia"/>
          <w:sz w:val="28"/>
          <w:szCs w:val="28"/>
        </w:rPr>
        <w:t>工作室建设项目或研究课题</w:t>
      </w:r>
    </w:p>
    <w:p w14:paraId="20A2C9D2">
      <w:pPr>
        <w:numPr>
          <w:ilvl w:val="0"/>
          <w:numId w:val="0"/>
        </w:numPr>
        <w:rPr>
          <w:rFonts w:hint="eastAsia"/>
          <w:sz w:val="28"/>
          <w:szCs w:val="28"/>
          <w:lang w:val="en-US" w:eastAsia="zh-CN"/>
        </w:rPr>
      </w:pPr>
      <w:r>
        <w:rPr>
          <w:rFonts w:hint="eastAsia"/>
          <w:sz w:val="28"/>
          <w:szCs w:val="28"/>
          <w:lang w:val="en-US" w:eastAsia="zh-CN"/>
        </w:rPr>
        <w:t xml:space="preserve">课题类别：教育心理研究  </w:t>
      </w:r>
      <w:bookmarkStart w:id="0" w:name="_GoBack"/>
      <w:bookmarkEnd w:id="0"/>
    </w:p>
    <w:p w14:paraId="1C92372E">
      <w:pPr>
        <w:numPr>
          <w:ilvl w:val="0"/>
          <w:numId w:val="0"/>
        </w:numPr>
        <w:rPr>
          <w:rFonts w:hint="default" w:eastAsiaTheme="minorEastAsia"/>
          <w:sz w:val="28"/>
          <w:szCs w:val="28"/>
          <w:lang w:val="en-US" w:eastAsia="zh-CN"/>
        </w:rPr>
      </w:pPr>
      <w:r>
        <w:rPr>
          <w:rFonts w:hint="eastAsia"/>
          <w:sz w:val="28"/>
          <w:szCs w:val="28"/>
          <w:lang w:val="en-US" w:eastAsia="zh-CN"/>
        </w:rPr>
        <w:t>课题名称《当下学习困难学生心理发展特点及教育矫正研究》</w:t>
      </w:r>
    </w:p>
    <w:p w14:paraId="6E7CE6B6">
      <w:pPr>
        <w:numPr>
          <w:ilvl w:val="0"/>
          <w:numId w:val="1"/>
        </w:numPr>
        <w:ind w:left="0" w:leftChars="0" w:firstLine="0" w:firstLineChars="0"/>
        <w:rPr>
          <w:rFonts w:hint="eastAsia"/>
          <w:sz w:val="28"/>
          <w:szCs w:val="28"/>
        </w:rPr>
      </w:pPr>
      <w:r>
        <w:rPr>
          <w:rFonts w:hint="eastAsia"/>
          <w:sz w:val="28"/>
          <w:szCs w:val="28"/>
        </w:rPr>
        <w:t>从事该项研究的意义及优势</w:t>
      </w:r>
    </w:p>
    <w:p w14:paraId="118D7DDB">
      <w:pPr>
        <w:numPr>
          <w:ilvl w:val="0"/>
          <w:numId w:val="0"/>
        </w:numPr>
        <w:ind w:leftChars="0"/>
        <w:rPr>
          <w:rFonts w:hint="eastAsia"/>
          <w:sz w:val="28"/>
          <w:szCs w:val="28"/>
          <w:lang w:val="en-US" w:eastAsia="zh-CN"/>
        </w:rPr>
      </w:pPr>
      <w:r>
        <w:rPr>
          <w:rFonts w:hint="eastAsia"/>
          <w:sz w:val="28"/>
          <w:szCs w:val="28"/>
          <w:lang w:val="en-US" w:eastAsia="zh-CN"/>
        </w:rPr>
        <w:t xml:space="preserve">  新《纲要》将学会学习作为心理健康教育的具体目标之一。指导学生克服诸多的学习心理障碍，促使他们尽快掌握学习诀窍，学会学习，是中小学心理健康教育的当务之急。</w:t>
      </w:r>
    </w:p>
    <w:p w14:paraId="75CEE014">
      <w:pPr>
        <w:numPr>
          <w:ilvl w:val="0"/>
          <w:numId w:val="0"/>
        </w:numPr>
        <w:ind w:leftChars="0"/>
        <w:rPr>
          <w:rFonts w:hint="default"/>
          <w:sz w:val="28"/>
          <w:szCs w:val="28"/>
          <w:lang w:val="en-US" w:eastAsia="zh-CN"/>
        </w:rPr>
      </w:pPr>
      <w:r>
        <w:rPr>
          <w:rFonts w:hint="eastAsia"/>
          <w:sz w:val="28"/>
          <w:szCs w:val="28"/>
          <w:lang w:val="en-US" w:eastAsia="zh-CN"/>
        </w:rPr>
        <w:t xml:space="preserve">  学习困难学生是在每一个学校都存在的、比较庞大的群体，学习困难学生是指学习成绩暂时落后的学生，任何一个班里都会有学习困难学生，学习困难学生的教育矫正是教师的一项重要工作，只有认真把这项工作落到实处，才能保证全体学生都得到全面发展，完成教学的根本任务。他们的学习和人格表现都明显有别于具备正常学习能力的孩子。这些孩子逃学、旷课、不完成作业，没有主动学习的习惯，没有明确的学习计划，在课堂上不专心，学习任务不能按时完成，同时，他们在家骗父母，在学校骗老师，沾染不良习气；还有的孩子因父母的管理不当而离家出走等等。他们是学校中的另一类弱势群体，如果我们对其漠然视之，忽视、放弃他们，那么就会与今天所提倡的以人为本、面向全体学生、使人人学有所成、大面积提高教育教学质量的宗旨背道而驰。“一切为了学生，为了一切学生，为了学生的一切”，这就要求我们重视学习困难学生，关心学习困难学生，帮助学习困难学生，让每个学生都有成才的机会，因此做好学习困难学生的教育矫正工作是我们义不容辞的责任，这是我们研究的出发点和归宿。</w:t>
      </w:r>
    </w:p>
    <w:p w14:paraId="1305D191">
      <w:pPr>
        <w:numPr>
          <w:ilvl w:val="0"/>
          <w:numId w:val="0"/>
        </w:numPr>
        <w:ind w:leftChars="0"/>
        <w:rPr>
          <w:rFonts w:hint="default"/>
          <w:sz w:val="28"/>
          <w:szCs w:val="28"/>
          <w:lang w:val="en-US" w:eastAsia="zh-CN"/>
        </w:rPr>
      </w:pPr>
      <w:r>
        <w:rPr>
          <w:rFonts w:hint="eastAsia"/>
          <w:sz w:val="28"/>
          <w:szCs w:val="28"/>
          <w:lang w:val="en-US" w:eastAsia="zh-CN"/>
        </w:rPr>
        <w:t>著名教育家苏霍姆林斯基认为感情教育是全面开展教育的重要组成部分，它可以培养学生的个性全面和谐开展。教师注重学生人格、地位的公平，真正走近学生，走进他们的内心，他们才会对老师敞开心扉，师生之间才可以相互了解，达到真正的沟通心灵。感情是推进学生学习的动力刺激，可以调动学生的内在积极性，排解学习障碍。学习困难学生的智力水平正常而且没有感官障碍，但他们对学习不感兴趣，上课不注意听讲，思考不积极，注意力不集中，常常会回避那些较难的问题，思想上有很强的惰性，这些学生往往需要经过有效的教育对策才能使其发生转变，从而提高教学质量。近年来教育界都在推广建设高效课堂，但是学习困难学生正是制约高效课堂建设的一个关键性因素。针对学习困难学生的自身特点，本课题旨在通过研究，找出对策充分挖掘其大脑功能强的区域，因材施教，扬长避短，从而满足其心理需要，并从激发学生的学习兴趣着手，使困难学生由自卑→自信→自尊→自强，最大限度地调动他们地学习积极性。对学习困难学生进行切实可行的心理辅导，增强其自信心，促进他们身心的健康发展，并以此促进他们学习成绩的提高是转化学困生的唯一途径。同时及时有效的抓好学困生转化工作是搞好教育教学中必行的一件大事，意义非常重大。</w:t>
      </w:r>
    </w:p>
    <w:p w14:paraId="749105F3">
      <w:pPr>
        <w:numPr>
          <w:ilvl w:val="0"/>
          <w:numId w:val="0"/>
        </w:numPr>
        <w:ind w:leftChars="0" w:firstLine="560" w:firstLineChars="200"/>
        <w:rPr>
          <w:rFonts w:hint="default"/>
          <w:sz w:val="28"/>
          <w:szCs w:val="28"/>
          <w:lang w:val="en-US" w:eastAsia="zh-CN"/>
        </w:rPr>
      </w:pPr>
      <w:r>
        <w:rPr>
          <w:rFonts w:hint="default"/>
          <w:sz w:val="28"/>
          <w:szCs w:val="28"/>
          <w:lang w:val="en-US" w:eastAsia="zh-CN"/>
        </w:rPr>
        <w:t>苏霍姆林斯基：“没有对学生的了解，就没有学校，就没有教育，就没有真正的教师。”“在每个孩子心中最隐秘的一角，都有一根独特的琴弦，拨动它就会发出特有的音响，要使孩子的心和我们讲的话发生共鸣，我们自身就需要同孩子的心弦对准音调。”作为教师，首先要了解学困生的具体情况，分析成因，依照学困生的心理反应及行为特征，对症下药，培养他们的学习心理，提高他们的学习能力和学习水平，使学困生的学习潜力得到最大开发。</w:t>
      </w:r>
    </w:p>
    <w:p w14:paraId="5298C689">
      <w:pPr>
        <w:numPr>
          <w:ilvl w:val="0"/>
          <w:numId w:val="0"/>
        </w:numPr>
        <w:ind w:leftChars="0"/>
        <w:rPr>
          <w:rFonts w:hint="default"/>
          <w:sz w:val="28"/>
          <w:szCs w:val="28"/>
          <w:lang w:val="en-US" w:eastAsia="zh-CN"/>
        </w:rPr>
      </w:pPr>
    </w:p>
    <w:p w14:paraId="0905057E">
      <w:pPr>
        <w:numPr>
          <w:ilvl w:val="0"/>
          <w:numId w:val="1"/>
        </w:numPr>
        <w:ind w:left="0" w:leftChars="0" w:firstLine="0" w:firstLineChars="0"/>
        <w:rPr>
          <w:rFonts w:hint="eastAsia"/>
          <w:sz w:val="28"/>
          <w:szCs w:val="28"/>
          <w:lang w:val="en-US" w:eastAsia="zh-CN"/>
        </w:rPr>
      </w:pPr>
      <w:r>
        <w:rPr>
          <w:rFonts w:hint="eastAsia"/>
          <w:sz w:val="28"/>
          <w:szCs w:val="28"/>
        </w:rPr>
        <w:t>主要内容</w:t>
      </w:r>
      <w:r>
        <w:rPr>
          <w:rFonts w:hint="eastAsia"/>
          <w:sz w:val="28"/>
          <w:szCs w:val="28"/>
          <w:lang w:val="en-US" w:eastAsia="zh-CN"/>
        </w:rPr>
        <w:t xml:space="preserve"> </w:t>
      </w:r>
    </w:p>
    <w:p w14:paraId="25C31DA1">
      <w:pPr>
        <w:numPr>
          <w:ilvl w:val="0"/>
          <w:numId w:val="0"/>
        </w:numPr>
        <w:ind w:leftChars="0"/>
        <w:rPr>
          <w:rFonts w:hint="eastAsia"/>
          <w:sz w:val="28"/>
          <w:szCs w:val="28"/>
          <w:lang w:val="en-US" w:eastAsia="zh-CN"/>
        </w:rPr>
      </w:pPr>
      <w:r>
        <w:rPr>
          <w:rFonts w:hint="eastAsia"/>
          <w:sz w:val="28"/>
          <w:szCs w:val="28"/>
          <w:lang w:val="en-US" w:eastAsia="zh-CN"/>
        </w:rPr>
        <w:t xml:space="preserve">  心理健康教育的指导思想和基本原则中坚持以“育人为本”为核心，要求教育不仅要关注一个人的当前，而且要关注一个人的长远，更要关注人的全面发展。学生既是心理健康教育的客体，也是主体。不同个体在心理上存在个别差异，所以针对学习困难学生要根据心理教育科学的普遍规律，充分考虑学生各个年龄阶段的特征和个性差异，运用科学的教育方法途径和手段，促进学生和谐发展，心理健康成长。</w:t>
      </w:r>
    </w:p>
    <w:p w14:paraId="3F42E479">
      <w:pPr>
        <w:numPr>
          <w:ilvl w:val="0"/>
          <w:numId w:val="2"/>
        </w:numPr>
        <w:rPr>
          <w:rFonts w:hint="eastAsia"/>
          <w:sz w:val="28"/>
          <w:szCs w:val="28"/>
          <w:lang w:val="en-US" w:eastAsia="zh-CN"/>
        </w:rPr>
      </w:pPr>
      <w:r>
        <w:rPr>
          <w:rFonts w:hint="eastAsia"/>
          <w:sz w:val="28"/>
          <w:szCs w:val="28"/>
          <w:lang w:val="en-US" w:eastAsia="zh-CN"/>
        </w:rPr>
        <w:t>处理、化解学生在学习、生活及社会活动中产生的各种心理矛盾。</w:t>
      </w:r>
    </w:p>
    <w:p w14:paraId="6BFA2235">
      <w:pPr>
        <w:numPr>
          <w:ilvl w:val="0"/>
          <w:numId w:val="2"/>
        </w:numPr>
        <w:rPr>
          <w:rFonts w:hint="default"/>
          <w:sz w:val="28"/>
          <w:szCs w:val="28"/>
          <w:lang w:val="en-US" w:eastAsia="zh-CN"/>
        </w:rPr>
      </w:pPr>
      <w:r>
        <w:rPr>
          <w:rFonts w:hint="eastAsia"/>
          <w:sz w:val="28"/>
          <w:szCs w:val="28"/>
          <w:lang w:val="en-US" w:eastAsia="zh-CN"/>
        </w:rPr>
        <w:t>采取实事求是的态度分析学生学习困难的心理发展特点</w:t>
      </w:r>
    </w:p>
    <w:p w14:paraId="752C451C">
      <w:pPr>
        <w:numPr>
          <w:ilvl w:val="0"/>
          <w:numId w:val="2"/>
        </w:numPr>
        <w:rPr>
          <w:rFonts w:hint="default"/>
          <w:sz w:val="28"/>
          <w:szCs w:val="28"/>
          <w:lang w:val="en-US" w:eastAsia="zh-CN"/>
        </w:rPr>
      </w:pPr>
      <w:r>
        <w:rPr>
          <w:rFonts w:hint="eastAsia"/>
          <w:sz w:val="28"/>
          <w:szCs w:val="28"/>
          <w:lang w:val="en-US" w:eastAsia="zh-CN"/>
        </w:rPr>
        <w:t>学习困难学生心里教育的矫正案例及研究</w:t>
      </w:r>
    </w:p>
    <w:p w14:paraId="19B412ED">
      <w:pPr>
        <w:numPr>
          <w:ilvl w:val="0"/>
          <w:numId w:val="1"/>
        </w:numPr>
        <w:ind w:left="0" w:leftChars="0" w:firstLine="0" w:firstLineChars="0"/>
        <w:rPr>
          <w:rFonts w:hint="eastAsia"/>
          <w:sz w:val="28"/>
          <w:szCs w:val="28"/>
        </w:rPr>
      </w:pPr>
      <w:r>
        <w:rPr>
          <w:rFonts w:hint="eastAsia"/>
          <w:sz w:val="28"/>
          <w:szCs w:val="28"/>
        </w:rPr>
        <w:t>预期成果</w:t>
      </w:r>
    </w:p>
    <w:p w14:paraId="4ABDA174">
      <w:pPr>
        <w:numPr>
          <w:ilvl w:val="0"/>
          <w:numId w:val="0"/>
        </w:numPr>
        <w:ind w:leftChars="0"/>
        <w:rPr>
          <w:rFonts w:hint="default" w:eastAsiaTheme="minorEastAsia"/>
          <w:sz w:val="28"/>
          <w:szCs w:val="28"/>
          <w:lang w:val="en-US" w:eastAsia="zh-CN"/>
        </w:rPr>
      </w:pPr>
      <w:r>
        <w:rPr>
          <w:rFonts w:hint="eastAsia"/>
          <w:sz w:val="28"/>
          <w:szCs w:val="28"/>
          <w:lang w:val="en-US" w:eastAsia="zh-CN"/>
        </w:rPr>
        <w:t xml:space="preserve">   </w:t>
      </w:r>
    </w:p>
    <w:tbl>
      <w:tblPr>
        <w:tblStyle w:val="2"/>
        <w:tblW w:w="9192" w:type="dxa"/>
        <w:tblInd w:w="-72"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autofit"/>
        <w:tblCellMar>
          <w:top w:w="0" w:type="dxa"/>
          <w:left w:w="108" w:type="dxa"/>
          <w:bottom w:w="0" w:type="dxa"/>
          <w:right w:w="108" w:type="dxa"/>
        </w:tblCellMar>
      </w:tblPr>
      <w:tblGrid>
        <w:gridCol w:w="2890"/>
        <w:gridCol w:w="3023"/>
        <w:gridCol w:w="3279"/>
      </w:tblGrid>
      <w:tr w14:paraId="6A64D7CA">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11" w:hRule="atLeast"/>
        </w:trPr>
        <w:tc>
          <w:tcPr>
            <w:tcW w:w="1863" w:type="dxa"/>
            <w:vMerge w:val="restart"/>
            <w:tcBorders>
              <w:top w:val="dotted" w:color="auto" w:sz="4" w:space="0"/>
              <w:left w:val="single" w:color="auto" w:sz="4" w:space="0"/>
              <w:right w:val="dotted" w:color="auto" w:sz="4" w:space="0"/>
            </w:tcBorders>
            <w:noWrap w:val="0"/>
            <w:vAlign w:val="center"/>
          </w:tcPr>
          <w:p w14:paraId="7ADE5BFE">
            <w:pPr>
              <w:spacing w:line="360" w:lineRule="exact"/>
              <w:ind w:right="-107" w:rightChars="-51"/>
              <w:jc w:val="center"/>
              <w:rPr>
                <w:rFonts w:hint="eastAsia" w:ascii="宋体" w:hAnsi="宋体"/>
                <w:szCs w:val="21"/>
              </w:rPr>
            </w:pPr>
            <w:r>
              <w:rPr>
                <w:rFonts w:hint="eastAsia" w:ascii="宋体" w:hAnsi="宋体"/>
                <w:szCs w:val="21"/>
              </w:rPr>
              <w:t>阶段成果（限5项）</w:t>
            </w:r>
          </w:p>
        </w:tc>
        <w:tc>
          <w:tcPr>
            <w:tcW w:w="1948" w:type="dxa"/>
            <w:tcBorders>
              <w:top w:val="dotted" w:color="auto" w:sz="4" w:space="0"/>
              <w:left w:val="dotted" w:color="auto" w:sz="4" w:space="0"/>
              <w:bottom w:val="dotted" w:color="auto" w:sz="4" w:space="0"/>
              <w:right w:val="dotted" w:color="auto" w:sz="4" w:space="0"/>
            </w:tcBorders>
            <w:noWrap w:val="0"/>
            <w:vAlign w:val="center"/>
          </w:tcPr>
          <w:p w14:paraId="4E5DC325">
            <w:pPr>
              <w:spacing w:line="360" w:lineRule="exact"/>
              <w:ind w:right="-107" w:rightChars="-51"/>
              <w:jc w:val="center"/>
              <w:rPr>
                <w:rFonts w:hint="eastAsia" w:ascii="宋体" w:hAnsi="宋体"/>
                <w:szCs w:val="21"/>
              </w:rPr>
            </w:pPr>
            <w:r>
              <w:rPr>
                <w:rFonts w:hint="eastAsia" w:ascii="宋体" w:hAnsi="宋体"/>
                <w:szCs w:val="21"/>
              </w:rPr>
              <w:t>有关</w:t>
            </w:r>
            <w:r>
              <w:rPr>
                <w:rFonts w:hint="eastAsia" w:ascii="宋体" w:hAnsi="宋体"/>
                <w:szCs w:val="21"/>
                <w:lang w:val="en-US" w:eastAsia="zh-CN"/>
              </w:rPr>
              <w:t>学习困难学生心里发展特点</w:t>
            </w:r>
            <w:r>
              <w:rPr>
                <w:rFonts w:hint="eastAsia" w:ascii="宋体" w:hAnsi="宋体"/>
                <w:szCs w:val="21"/>
              </w:rPr>
              <w:t>的论文</w:t>
            </w:r>
          </w:p>
        </w:tc>
        <w:tc>
          <w:tcPr>
            <w:tcW w:w="2113" w:type="dxa"/>
            <w:tcBorders>
              <w:top w:val="dotted" w:color="auto" w:sz="4" w:space="0"/>
              <w:left w:val="dotted" w:color="auto" w:sz="4" w:space="0"/>
              <w:bottom w:val="dotted" w:color="auto" w:sz="4" w:space="0"/>
              <w:right w:val="dotted" w:color="auto" w:sz="4" w:space="0"/>
            </w:tcBorders>
            <w:noWrap w:val="0"/>
            <w:vAlign w:val="center"/>
          </w:tcPr>
          <w:p w14:paraId="75C0DBCE">
            <w:pPr>
              <w:spacing w:line="360" w:lineRule="exact"/>
              <w:ind w:right="-107" w:rightChars="-51"/>
              <w:jc w:val="center"/>
              <w:rPr>
                <w:rFonts w:hint="eastAsia" w:ascii="宋体" w:hAnsi="宋体"/>
                <w:szCs w:val="21"/>
              </w:rPr>
            </w:pPr>
            <w:r>
              <w:rPr>
                <w:rFonts w:hint="eastAsia" w:ascii="宋体" w:hAnsi="宋体"/>
                <w:szCs w:val="21"/>
              </w:rPr>
              <w:t>论文</w:t>
            </w:r>
          </w:p>
        </w:tc>
      </w:tr>
      <w:tr w14:paraId="1FBE6025">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79" w:hRule="atLeast"/>
        </w:trPr>
        <w:tc>
          <w:tcPr>
            <w:tcW w:w="1863" w:type="dxa"/>
            <w:vMerge w:val="continue"/>
            <w:tcBorders>
              <w:left w:val="single" w:color="auto" w:sz="4" w:space="0"/>
              <w:right w:val="dotted" w:color="auto" w:sz="4" w:space="0"/>
            </w:tcBorders>
            <w:noWrap w:val="0"/>
            <w:vAlign w:val="center"/>
          </w:tcPr>
          <w:p w14:paraId="0B41B5D9">
            <w:pPr>
              <w:spacing w:line="360" w:lineRule="exact"/>
              <w:ind w:right="-107" w:rightChars="-51"/>
              <w:jc w:val="center"/>
              <w:rPr>
                <w:rFonts w:hint="eastAsia" w:ascii="宋体" w:hAnsi="宋体"/>
                <w:szCs w:val="21"/>
              </w:rPr>
            </w:pPr>
          </w:p>
        </w:tc>
        <w:tc>
          <w:tcPr>
            <w:tcW w:w="1948" w:type="dxa"/>
            <w:tcBorders>
              <w:top w:val="dotted" w:color="auto" w:sz="4" w:space="0"/>
              <w:left w:val="dotted" w:color="auto" w:sz="4" w:space="0"/>
              <w:bottom w:val="dotted" w:color="auto" w:sz="4" w:space="0"/>
              <w:right w:val="dotted" w:color="auto" w:sz="4" w:space="0"/>
            </w:tcBorders>
            <w:noWrap w:val="0"/>
            <w:vAlign w:val="center"/>
          </w:tcPr>
          <w:p w14:paraId="7EA88005">
            <w:pPr>
              <w:spacing w:line="360" w:lineRule="exact"/>
              <w:ind w:right="-107" w:rightChars="-51"/>
              <w:jc w:val="center"/>
              <w:rPr>
                <w:rFonts w:hint="eastAsia" w:ascii="宋体" w:hAnsi="宋体"/>
                <w:szCs w:val="21"/>
              </w:rPr>
            </w:pPr>
            <w:r>
              <w:rPr>
                <w:rFonts w:hint="eastAsia" w:ascii="宋体" w:hAnsi="宋体"/>
                <w:szCs w:val="21"/>
                <w:lang w:val="en-US" w:eastAsia="zh-CN"/>
              </w:rPr>
              <w:t>学习困难学生心理教育矫正</w:t>
            </w:r>
            <w:r>
              <w:rPr>
                <w:rFonts w:hint="eastAsia" w:ascii="宋体" w:hAnsi="宋体"/>
                <w:szCs w:val="21"/>
              </w:rPr>
              <w:t>的</w:t>
            </w:r>
            <w:r>
              <w:rPr>
                <w:rFonts w:hint="eastAsia" w:ascii="宋体" w:hAnsi="宋体"/>
                <w:szCs w:val="21"/>
                <w:lang w:val="en-US" w:eastAsia="zh-CN"/>
              </w:rPr>
              <w:t>优秀</w:t>
            </w:r>
            <w:r>
              <w:rPr>
                <w:rFonts w:hint="eastAsia" w:ascii="宋体" w:hAnsi="宋体"/>
                <w:szCs w:val="21"/>
              </w:rPr>
              <w:t>案例</w:t>
            </w:r>
          </w:p>
        </w:tc>
        <w:tc>
          <w:tcPr>
            <w:tcW w:w="2113" w:type="dxa"/>
            <w:tcBorders>
              <w:top w:val="dotted" w:color="auto" w:sz="4" w:space="0"/>
              <w:left w:val="dotted" w:color="auto" w:sz="4" w:space="0"/>
              <w:bottom w:val="dotted" w:color="auto" w:sz="4" w:space="0"/>
              <w:right w:val="dotted" w:color="auto" w:sz="4" w:space="0"/>
            </w:tcBorders>
            <w:noWrap w:val="0"/>
            <w:vAlign w:val="center"/>
          </w:tcPr>
          <w:p w14:paraId="456E4884">
            <w:pPr>
              <w:spacing w:line="360" w:lineRule="exact"/>
              <w:ind w:right="-107" w:rightChars="-51"/>
              <w:jc w:val="center"/>
              <w:rPr>
                <w:rFonts w:hint="eastAsia" w:ascii="宋体" w:hAnsi="宋体"/>
                <w:szCs w:val="21"/>
              </w:rPr>
            </w:pPr>
            <w:r>
              <w:rPr>
                <w:rFonts w:hint="eastAsia" w:ascii="宋体" w:hAnsi="宋体"/>
                <w:szCs w:val="21"/>
              </w:rPr>
              <w:t>案例</w:t>
            </w:r>
          </w:p>
        </w:tc>
      </w:tr>
      <w:tr w14:paraId="613BE347">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86" w:hRule="atLeast"/>
        </w:trPr>
        <w:tc>
          <w:tcPr>
            <w:tcW w:w="1863" w:type="dxa"/>
            <w:vMerge w:val="continue"/>
            <w:tcBorders>
              <w:left w:val="single" w:color="auto" w:sz="4" w:space="0"/>
              <w:right w:val="dotted" w:color="auto" w:sz="4" w:space="0"/>
            </w:tcBorders>
            <w:noWrap w:val="0"/>
            <w:vAlign w:val="center"/>
          </w:tcPr>
          <w:p w14:paraId="7A495A9B">
            <w:pPr>
              <w:spacing w:line="360" w:lineRule="exact"/>
              <w:ind w:right="-107" w:rightChars="-51"/>
              <w:jc w:val="center"/>
              <w:rPr>
                <w:rFonts w:hint="eastAsia" w:ascii="宋体" w:hAnsi="宋体"/>
                <w:szCs w:val="21"/>
              </w:rPr>
            </w:pPr>
          </w:p>
        </w:tc>
        <w:tc>
          <w:tcPr>
            <w:tcW w:w="1948" w:type="dxa"/>
            <w:tcBorders>
              <w:top w:val="dotted" w:color="auto" w:sz="4" w:space="0"/>
              <w:left w:val="dotted" w:color="auto" w:sz="4" w:space="0"/>
              <w:bottom w:val="dotted" w:color="auto" w:sz="4" w:space="0"/>
              <w:right w:val="dotted" w:color="auto" w:sz="4" w:space="0"/>
            </w:tcBorders>
            <w:noWrap w:val="0"/>
            <w:vAlign w:val="center"/>
          </w:tcPr>
          <w:p w14:paraId="47BC6C00">
            <w:pPr>
              <w:spacing w:line="360" w:lineRule="exact"/>
              <w:ind w:right="-107" w:rightChars="-51"/>
              <w:jc w:val="center"/>
              <w:rPr>
                <w:rFonts w:hint="eastAsia" w:ascii="宋体" w:hAnsi="宋体"/>
                <w:szCs w:val="21"/>
              </w:rPr>
            </w:pPr>
            <w:r>
              <w:rPr>
                <w:rFonts w:hint="eastAsia" w:ascii="宋体" w:hAnsi="宋体"/>
                <w:szCs w:val="21"/>
              </w:rPr>
              <w:t>研究过程中的随笔</w:t>
            </w:r>
          </w:p>
        </w:tc>
        <w:tc>
          <w:tcPr>
            <w:tcW w:w="2113" w:type="dxa"/>
            <w:tcBorders>
              <w:top w:val="dotted" w:color="auto" w:sz="4" w:space="0"/>
              <w:left w:val="dotted" w:color="auto" w:sz="4" w:space="0"/>
              <w:bottom w:val="dotted" w:color="auto" w:sz="4" w:space="0"/>
              <w:right w:val="dotted" w:color="auto" w:sz="4" w:space="0"/>
            </w:tcBorders>
            <w:noWrap w:val="0"/>
            <w:vAlign w:val="center"/>
          </w:tcPr>
          <w:p w14:paraId="0EC80583">
            <w:pPr>
              <w:spacing w:line="360" w:lineRule="exact"/>
              <w:ind w:right="-107" w:rightChars="-51"/>
              <w:jc w:val="center"/>
              <w:rPr>
                <w:rFonts w:hint="eastAsia" w:ascii="宋体" w:hAnsi="宋体"/>
                <w:szCs w:val="21"/>
              </w:rPr>
            </w:pPr>
            <w:r>
              <w:rPr>
                <w:rFonts w:hint="eastAsia" w:ascii="宋体" w:hAnsi="宋体"/>
                <w:szCs w:val="21"/>
              </w:rPr>
              <w:t>随笔</w:t>
            </w:r>
          </w:p>
        </w:tc>
      </w:tr>
      <w:tr w14:paraId="7EC6A655">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67" w:hRule="atLeast"/>
        </w:trPr>
        <w:tc>
          <w:tcPr>
            <w:tcW w:w="1863" w:type="dxa"/>
            <w:vMerge w:val="continue"/>
            <w:tcBorders>
              <w:left w:val="single" w:color="auto" w:sz="4" w:space="0"/>
              <w:right w:val="dotted" w:color="auto" w:sz="4" w:space="0"/>
            </w:tcBorders>
            <w:noWrap w:val="0"/>
            <w:vAlign w:val="center"/>
          </w:tcPr>
          <w:p w14:paraId="04B65505">
            <w:pPr>
              <w:spacing w:line="360" w:lineRule="exact"/>
              <w:ind w:right="-107" w:rightChars="-51"/>
              <w:jc w:val="center"/>
              <w:rPr>
                <w:rFonts w:hint="eastAsia" w:ascii="宋体" w:hAnsi="宋体"/>
                <w:szCs w:val="21"/>
              </w:rPr>
            </w:pPr>
          </w:p>
        </w:tc>
        <w:tc>
          <w:tcPr>
            <w:tcW w:w="1948" w:type="dxa"/>
            <w:tcBorders>
              <w:top w:val="dotted" w:color="auto" w:sz="4" w:space="0"/>
              <w:left w:val="dotted" w:color="auto" w:sz="4" w:space="0"/>
              <w:bottom w:val="dotted" w:color="auto" w:sz="4" w:space="0"/>
              <w:right w:val="dotted" w:color="auto" w:sz="4" w:space="0"/>
            </w:tcBorders>
            <w:noWrap w:val="0"/>
            <w:vAlign w:val="center"/>
          </w:tcPr>
          <w:p w14:paraId="738B09A0">
            <w:pPr>
              <w:spacing w:line="360" w:lineRule="exact"/>
              <w:ind w:right="-107" w:rightChars="-51"/>
              <w:jc w:val="center"/>
              <w:rPr>
                <w:rFonts w:hint="eastAsia" w:ascii="宋体" w:hAnsi="宋体"/>
                <w:szCs w:val="21"/>
              </w:rPr>
            </w:pPr>
            <w:r>
              <w:rPr>
                <w:rFonts w:hint="eastAsia" w:ascii="宋体" w:hAnsi="宋体"/>
                <w:szCs w:val="21"/>
              </w:rPr>
              <w:t>有关学生</w:t>
            </w:r>
            <w:r>
              <w:rPr>
                <w:rFonts w:hint="eastAsia" w:ascii="宋体" w:hAnsi="宋体"/>
                <w:szCs w:val="21"/>
                <w:lang w:val="en-US" w:eastAsia="zh-CN"/>
              </w:rPr>
              <w:t>学习进步</w:t>
            </w:r>
            <w:r>
              <w:rPr>
                <w:rFonts w:hint="eastAsia" w:ascii="宋体" w:hAnsi="宋体"/>
                <w:szCs w:val="21"/>
              </w:rPr>
              <w:t>的调查表，分析总结</w:t>
            </w:r>
          </w:p>
        </w:tc>
        <w:tc>
          <w:tcPr>
            <w:tcW w:w="2113" w:type="dxa"/>
            <w:tcBorders>
              <w:top w:val="dotted" w:color="auto" w:sz="4" w:space="0"/>
              <w:left w:val="dotted" w:color="auto" w:sz="4" w:space="0"/>
              <w:bottom w:val="dotted" w:color="auto" w:sz="4" w:space="0"/>
              <w:right w:val="dotted" w:color="auto" w:sz="4" w:space="0"/>
            </w:tcBorders>
            <w:noWrap w:val="0"/>
            <w:vAlign w:val="center"/>
          </w:tcPr>
          <w:p w14:paraId="26CEB9CE">
            <w:pPr>
              <w:spacing w:line="360" w:lineRule="exact"/>
              <w:ind w:right="-107" w:rightChars="-51"/>
              <w:jc w:val="center"/>
              <w:rPr>
                <w:rFonts w:hint="default" w:ascii="宋体" w:hAnsi="宋体" w:eastAsia="宋体"/>
                <w:szCs w:val="21"/>
                <w:lang w:val="en-US" w:eastAsia="zh-CN"/>
              </w:rPr>
            </w:pPr>
            <w:r>
              <w:rPr>
                <w:rFonts w:hint="eastAsia" w:ascii="宋体" w:hAnsi="宋体"/>
                <w:szCs w:val="21"/>
              </w:rPr>
              <w:t>调查表</w:t>
            </w:r>
            <w:r>
              <w:rPr>
                <w:rFonts w:hint="eastAsia" w:ascii="宋体" w:hAnsi="宋体"/>
                <w:szCs w:val="21"/>
                <w:lang w:eastAsia="zh-CN"/>
              </w:rPr>
              <w:t>、</w:t>
            </w:r>
            <w:r>
              <w:rPr>
                <w:rFonts w:hint="eastAsia" w:ascii="宋体" w:hAnsi="宋体"/>
                <w:szCs w:val="21"/>
                <w:lang w:val="en-US" w:eastAsia="zh-CN"/>
              </w:rPr>
              <w:t>总结</w:t>
            </w:r>
          </w:p>
        </w:tc>
      </w:tr>
      <w:tr w14:paraId="5BE51199">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75" w:hRule="atLeast"/>
        </w:trPr>
        <w:tc>
          <w:tcPr>
            <w:tcW w:w="1863" w:type="dxa"/>
            <w:vMerge w:val="continue"/>
            <w:tcBorders>
              <w:left w:val="single" w:color="auto" w:sz="4" w:space="0"/>
              <w:right w:val="dotted" w:color="auto" w:sz="4" w:space="0"/>
            </w:tcBorders>
            <w:noWrap w:val="0"/>
            <w:vAlign w:val="center"/>
          </w:tcPr>
          <w:p w14:paraId="2CFD65E0">
            <w:pPr>
              <w:spacing w:line="360" w:lineRule="exact"/>
              <w:ind w:right="-107" w:rightChars="-51"/>
              <w:jc w:val="center"/>
              <w:rPr>
                <w:rFonts w:hint="eastAsia" w:ascii="宋体" w:hAnsi="宋体"/>
                <w:szCs w:val="21"/>
              </w:rPr>
            </w:pPr>
          </w:p>
        </w:tc>
        <w:tc>
          <w:tcPr>
            <w:tcW w:w="1948" w:type="dxa"/>
            <w:tcBorders>
              <w:top w:val="dotted" w:color="auto" w:sz="4" w:space="0"/>
              <w:left w:val="dotted" w:color="auto" w:sz="4" w:space="0"/>
              <w:right w:val="dotted" w:color="auto" w:sz="4" w:space="0"/>
            </w:tcBorders>
            <w:noWrap w:val="0"/>
            <w:vAlign w:val="center"/>
          </w:tcPr>
          <w:p w14:paraId="1BF79E4C">
            <w:pPr>
              <w:spacing w:line="360" w:lineRule="exact"/>
              <w:ind w:right="-107" w:rightChars="-51"/>
              <w:jc w:val="center"/>
              <w:rPr>
                <w:rFonts w:hint="eastAsia" w:ascii="宋体" w:hAnsi="宋体"/>
                <w:szCs w:val="21"/>
              </w:rPr>
            </w:pPr>
            <w:r>
              <w:rPr>
                <w:rFonts w:hint="eastAsia" w:ascii="宋体" w:hAnsi="宋体"/>
                <w:szCs w:val="21"/>
                <w:lang w:val="en-US" w:eastAsia="zh-CN"/>
              </w:rPr>
              <w:t>中期评估</w:t>
            </w:r>
            <w:r>
              <w:rPr>
                <w:rFonts w:hint="eastAsia" w:ascii="宋体" w:hAnsi="宋体"/>
                <w:szCs w:val="21"/>
              </w:rPr>
              <w:t>报告</w:t>
            </w:r>
          </w:p>
        </w:tc>
        <w:tc>
          <w:tcPr>
            <w:tcW w:w="2113" w:type="dxa"/>
            <w:tcBorders>
              <w:top w:val="dotted" w:color="auto" w:sz="4" w:space="0"/>
              <w:left w:val="dotted" w:color="auto" w:sz="4" w:space="0"/>
              <w:right w:val="dotted" w:color="auto" w:sz="4" w:space="0"/>
            </w:tcBorders>
            <w:noWrap w:val="0"/>
            <w:vAlign w:val="center"/>
          </w:tcPr>
          <w:p w14:paraId="4C0DD9EE">
            <w:pPr>
              <w:spacing w:line="360" w:lineRule="exact"/>
              <w:ind w:right="-107" w:rightChars="-51"/>
              <w:jc w:val="center"/>
              <w:rPr>
                <w:rFonts w:hint="eastAsia" w:ascii="宋体" w:hAnsi="宋体"/>
                <w:szCs w:val="21"/>
              </w:rPr>
            </w:pPr>
            <w:r>
              <w:rPr>
                <w:rFonts w:hint="eastAsia" w:ascii="宋体" w:hAnsi="宋体"/>
                <w:szCs w:val="21"/>
              </w:rPr>
              <w:t>报告</w:t>
            </w:r>
          </w:p>
        </w:tc>
      </w:tr>
      <w:tr w14:paraId="3556859F">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82" w:hRule="atLeast"/>
        </w:trPr>
        <w:tc>
          <w:tcPr>
            <w:tcW w:w="1863" w:type="dxa"/>
            <w:vMerge w:val="restart"/>
            <w:tcBorders>
              <w:top w:val="dotted" w:color="auto" w:sz="4" w:space="0"/>
              <w:left w:val="single" w:color="auto" w:sz="4" w:space="0"/>
              <w:right w:val="dotted" w:color="auto" w:sz="4" w:space="0"/>
            </w:tcBorders>
            <w:noWrap w:val="0"/>
            <w:vAlign w:val="center"/>
          </w:tcPr>
          <w:p w14:paraId="6907963B">
            <w:pPr>
              <w:spacing w:line="360" w:lineRule="exact"/>
              <w:ind w:right="-107" w:rightChars="-51"/>
              <w:jc w:val="center"/>
              <w:rPr>
                <w:rFonts w:hint="eastAsia" w:ascii="宋体" w:hAnsi="宋体"/>
                <w:szCs w:val="21"/>
              </w:rPr>
            </w:pPr>
            <w:r>
              <w:rPr>
                <w:rFonts w:hint="eastAsia" w:ascii="宋体" w:hAnsi="宋体"/>
                <w:szCs w:val="21"/>
              </w:rPr>
              <w:t>最终成果（限3项）</w:t>
            </w:r>
          </w:p>
        </w:tc>
        <w:tc>
          <w:tcPr>
            <w:tcW w:w="1948" w:type="dxa"/>
            <w:tcBorders>
              <w:top w:val="dotted" w:color="auto" w:sz="4" w:space="0"/>
              <w:left w:val="dotted" w:color="auto" w:sz="4" w:space="0"/>
              <w:bottom w:val="dotted" w:color="auto" w:sz="4" w:space="0"/>
              <w:right w:val="dotted" w:color="auto" w:sz="4" w:space="0"/>
            </w:tcBorders>
            <w:noWrap w:val="0"/>
            <w:vAlign w:val="center"/>
          </w:tcPr>
          <w:p w14:paraId="70F85C1F">
            <w:pPr>
              <w:spacing w:line="360" w:lineRule="exact"/>
              <w:ind w:right="-107" w:rightChars="-51"/>
              <w:jc w:val="center"/>
              <w:rPr>
                <w:rFonts w:hint="eastAsia" w:ascii="宋体" w:hAnsi="宋体"/>
                <w:szCs w:val="21"/>
              </w:rPr>
            </w:pPr>
            <w:r>
              <w:rPr>
                <w:rFonts w:hint="eastAsia" w:ascii="宋体" w:hAnsi="宋体"/>
                <w:szCs w:val="21"/>
              </w:rPr>
              <w:t>结题报告</w:t>
            </w:r>
          </w:p>
        </w:tc>
        <w:tc>
          <w:tcPr>
            <w:tcW w:w="2113" w:type="dxa"/>
            <w:tcBorders>
              <w:top w:val="dotted" w:color="auto" w:sz="4" w:space="0"/>
              <w:left w:val="dotted" w:color="auto" w:sz="4" w:space="0"/>
              <w:bottom w:val="dotted" w:color="auto" w:sz="4" w:space="0"/>
              <w:right w:val="dotted" w:color="auto" w:sz="4" w:space="0"/>
            </w:tcBorders>
            <w:noWrap w:val="0"/>
            <w:vAlign w:val="center"/>
          </w:tcPr>
          <w:p w14:paraId="1E1197E8">
            <w:pPr>
              <w:spacing w:line="360" w:lineRule="exact"/>
              <w:ind w:right="-107" w:rightChars="-51"/>
              <w:jc w:val="center"/>
              <w:rPr>
                <w:rFonts w:hint="eastAsia" w:ascii="宋体" w:hAnsi="宋体" w:eastAsia="宋体"/>
                <w:szCs w:val="21"/>
                <w:lang w:val="en-US" w:eastAsia="zh-CN"/>
              </w:rPr>
            </w:pPr>
            <w:r>
              <w:rPr>
                <w:rFonts w:hint="eastAsia" w:ascii="宋体" w:hAnsi="宋体"/>
                <w:szCs w:val="21"/>
                <w:lang w:val="en-US" w:eastAsia="zh-CN"/>
              </w:rPr>
              <w:t>报告</w:t>
            </w:r>
          </w:p>
        </w:tc>
      </w:tr>
      <w:tr w14:paraId="6A750D0B">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77" w:hRule="atLeast"/>
        </w:trPr>
        <w:tc>
          <w:tcPr>
            <w:tcW w:w="1863" w:type="dxa"/>
            <w:vMerge w:val="continue"/>
            <w:tcBorders>
              <w:left w:val="single" w:color="auto" w:sz="4" w:space="0"/>
              <w:right w:val="dotted" w:color="auto" w:sz="4" w:space="0"/>
            </w:tcBorders>
            <w:noWrap w:val="0"/>
            <w:vAlign w:val="center"/>
          </w:tcPr>
          <w:p w14:paraId="06C84344">
            <w:pPr>
              <w:spacing w:line="360" w:lineRule="exact"/>
              <w:ind w:right="-107" w:rightChars="-51"/>
              <w:jc w:val="center"/>
              <w:rPr>
                <w:rFonts w:hint="eastAsia" w:ascii="宋体" w:hAnsi="宋体"/>
                <w:szCs w:val="21"/>
              </w:rPr>
            </w:pPr>
          </w:p>
        </w:tc>
        <w:tc>
          <w:tcPr>
            <w:tcW w:w="1948" w:type="dxa"/>
            <w:tcBorders>
              <w:top w:val="dotted" w:color="auto" w:sz="4" w:space="0"/>
              <w:left w:val="dotted" w:color="auto" w:sz="4" w:space="0"/>
              <w:bottom w:val="dotted" w:color="auto" w:sz="4" w:space="0"/>
              <w:right w:val="dotted" w:color="auto" w:sz="4" w:space="0"/>
            </w:tcBorders>
            <w:noWrap w:val="0"/>
            <w:vAlign w:val="center"/>
          </w:tcPr>
          <w:p w14:paraId="0B615630">
            <w:pPr>
              <w:spacing w:line="360" w:lineRule="exact"/>
              <w:ind w:right="-107" w:rightChars="-51"/>
              <w:jc w:val="center"/>
              <w:rPr>
                <w:rFonts w:hint="eastAsia" w:ascii="宋体" w:hAnsi="宋体"/>
                <w:szCs w:val="21"/>
              </w:rPr>
            </w:pPr>
            <w:r>
              <w:rPr>
                <w:rFonts w:hint="eastAsia" w:ascii="宋体" w:hAnsi="宋体"/>
                <w:szCs w:val="21"/>
              </w:rPr>
              <w:t>研究案例汇编</w:t>
            </w:r>
          </w:p>
        </w:tc>
        <w:tc>
          <w:tcPr>
            <w:tcW w:w="2113" w:type="dxa"/>
            <w:tcBorders>
              <w:top w:val="dotted" w:color="auto" w:sz="4" w:space="0"/>
              <w:left w:val="dotted" w:color="auto" w:sz="4" w:space="0"/>
              <w:bottom w:val="dotted" w:color="auto" w:sz="4" w:space="0"/>
              <w:right w:val="dotted" w:color="auto" w:sz="4" w:space="0"/>
            </w:tcBorders>
            <w:noWrap w:val="0"/>
            <w:vAlign w:val="center"/>
          </w:tcPr>
          <w:p w14:paraId="36149E49">
            <w:pPr>
              <w:spacing w:line="360" w:lineRule="exact"/>
              <w:ind w:right="-107" w:rightChars="-51"/>
              <w:jc w:val="center"/>
              <w:rPr>
                <w:rFonts w:hint="eastAsia" w:ascii="宋体" w:hAnsi="宋体" w:eastAsia="宋体"/>
                <w:szCs w:val="21"/>
                <w:lang w:val="en-US" w:eastAsia="zh-CN"/>
              </w:rPr>
            </w:pPr>
            <w:r>
              <w:rPr>
                <w:rFonts w:hint="eastAsia" w:ascii="宋体" w:hAnsi="宋体"/>
                <w:szCs w:val="21"/>
                <w:lang w:val="en-US" w:eastAsia="zh-CN"/>
              </w:rPr>
              <w:t>案例</w:t>
            </w:r>
          </w:p>
        </w:tc>
      </w:tr>
      <w:tr w14:paraId="78CC5080">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72" w:hRule="atLeast"/>
        </w:trPr>
        <w:tc>
          <w:tcPr>
            <w:tcW w:w="1863" w:type="dxa"/>
            <w:vMerge w:val="continue"/>
            <w:tcBorders>
              <w:left w:val="single" w:color="auto" w:sz="4" w:space="0"/>
              <w:bottom w:val="single" w:color="auto" w:sz="4" w:space="0"/>
              <w:right w:val="dotted" w:color="auto" w:sz="4" w:space="0"/>
            </w:tcBorders>
            <w:noWrap w:val="0"/>
            <w:vAlign w:val="center"/>
          </w:tcPr>
          <w:p w14:paraId="42CC641F">
            <w:pPr>
              <w:spacing w:line="360" w:lineRule="exact"/>
              <w:ind w:right="-107" w:rightChars="-51"/>
              <w:jc w:val="center"/>
              <w:rPr>
                <w:rFonts w:hint="eastAsia" w:ascii="宋体" w:hAnsi="宋体"/>
                <w:szCs w:val="21"/>
              </w:rPr>
            </w:pPr>
          </w:p>
        </w:tc>
        <w:tc>
          <w:tcPr>
            <w:tcW w:w="1948" w:type="dxa"/>
            <w:tcBorders>
              <w:top w:val="dotted" w:color="auto" w:sz="4" w:space="0"/>
              <w:left w:val="dotted" w:color="auto" w:sz="4" w:space="0"/>
              <w:bottom w:val="single" w:color="auto" w:sz="4" w:space="0"/>
              <w:right w:val="dotted" w:color="auto" w:sz="4" w:space="0"/>
            </w:tcBorders>
            <w:noWrap w:val="0"/>
            <w:vAlign w:val="center"/>
          </w:tcPr>
          <w:p w14:paraId="46466610">
            <w:pPr>
              <w:spacing w:line="360" w:lineRule="exact"/>
              <w:ind w:right="-107" w:rightChars="-51"/>
              <w:jc w:val="center"/>
              <w:rPr>
                <w:rFonts w:hint="eastAsia" w:ascii="宋体" w:hAnsi="宋体"/>
                <w:szCs w:val="21"/>
              </w:rPr>
            </w:pPr>
            <w:r>
              <w:rPr>
                <w:rFonts w:hint="eastAsia" w:ascii="宋体" w:hAnsi="宋体"/>
                <w:szCs w:val="21"/>
              </w:rPr>
              <w:t>研究论文</w:t>
            </w:r>
          </w:p>
        </w:tc>
        <w:tc>
          <w:tcPr>
            <w:tcW w:w="2113" w:type="dxa"/>
            <w:tcBorders>
              <w:top w:val="dotted" w:color="auto" w:sz="4" w:space="0"/>
              <w:left w:val="dotted" w:color="auto" w:sz="4" w:space="0"/>
              <w:bottom w:val="single" w:color="auto" w:sz="4" w:space="0"/>
              <w:right w:val="dotted" w:color="auto" w:sz="4" w:space="0"/>
            </w:tcBorders>
            <w:noWrap w:val="0"/>
            <w:vAlign w:val="center"/>
          </w:tcPr>
          <w:p w14:paraId="65EAFAB5">
            <w:pPr>
              <w:spacing w:line="360" w:lineRule="exact"/>
              <w:ind w:right="-107" w:rightChars="-51"/>
              <w:jc w:val="center"/>
              <w:rPr>
                <w:rFonts w:hint="eastAsia" w:ascii="宋体" w:hAnsi="宋体" w:eastAsia="宋体"/>
                <w:szCs w:val="21"/>
                <w:lang w:val="en-US" w:eastAsia="zh-CN"/>
              </w:rPr>
            </w:pPr>
            <w:r>
              <w:rPr>
                <w:rFonts w:hint="eastAsia" w:ascii="宋体" w:hAnsi="宋体"/>
                <w:szCs w:val="21"/>
                <w:lang w:val="en-US" w:eastAsia="zh-CN"/>
              </w:rPr>
              <w:t>论文</w:t>
            </w:r>
          </w:p>
        </w:tc>
      </w:tr>
    </w:tbl>
    <w:p w14:paraId="1FCE29DB">
      <w:pPr>
        <w:numPr>
          <w:ilvl w:val="0"/>
          <w:numId w:val="0"/>
        </w:numPr>
        <w:ind w:leftChars="0"/>
        <w:rPr>
          <w:rFonts w:hint="default" w:eastAsiaTheme="minorEastAsia"/>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823145"/>
    <w:multiLevelType w:val="singleLevel"/>
    <w:tmpl w:val="1A823145"/>
    <w:lvl w:ilvl="0" w:tentative="0">
      <w:start w:val="1"/>
      <w:numFmt w:val="decimal"/>
      <w:lvlText w:val="%1."/>
      <w:lvlJc w:val="left"/>
      <w:pPr>
        <w:tabs>
          <w:tab w:val="left" w:pos="312"/>
        </w:tabs>
      </w:pPr>
    </w:lvl>
  </w:abstractNum>
  <w:abstractNum w:abstractNumId="1">
    <w:nsid w:val="7AB44558"/>
    <w:multiLevelType w:val="singleLevel"/>
    <w:tmpl w:val="7AB44558"/>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iNDcyZjNjYWE1MDZjZmUyODgzMWE2ZjU0MDRiOWIifQ=="/>
  </w:docVars>
  <w:rsids>
    <w:rsidRoot w:val="47287D25"/>
    <w:rsid w:val="11C46B59"/>
    <w:rsid w:val="47287D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1682</Words>
  <Characters>1683</Characters>
  <Lines>0</Lines>
  <Paragraphs>0</Paragraphs>
  <TotalTime>4</TotalTime>
  <ScaleCrop>false</ScaleCrop>
  <LinksUpToDate>false</LinksUpToDate>
  <CharactersWithSpaces>1695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2023-08-17T01:43:00Z</dcterms:created>
  <dc:creator>陈丽君</dc:creator>
  <cp:lastModifiedBy>陈丽君</cp:lastModifiedBy>
  <dcterms:modified xsi:type="dcterms:W3CDTF">2026-05-28T06:23:28Z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898B707C3DA44B3DBA454A414FBB034C_11</vt:lpwstr>
  </property>
  <property fmtid="{D5CDD505-2E9C-101B-9397-08002B2CF9AE}" pid="4" name="KSOTemplateDocerSaveRecord">
    <vt:lpwstr>eyJoZGlkIjoiZDQwNzZhNTI3NzlkZDJjMjhlZDQyNTEwMjZlMmIyYzkiLCJ1c2VySWQiOiIzNDU1MzQ4NDYifQ==</vt:lpwstr>
  </property>
</Properties>
</file>