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D5B925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4月份理论学习</w:t>
      </w:r>
    </w:p>
    <w:p w14:paraId="5EDAB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学习夏雪梅《跨学科学习：一种基于学科的设计、实施与评价》后，我对跨学科学习的内涵、价值与实施路径有了更全面、深刻的理解。跨学科学习是学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生综合两门及以上学科的知识、能力与思维，依托特定载体形成整合性理解的过程，是 2022 版义务教育课程方案明确要求的改革重点，各门课程需用不少于 10% 的课时开展跨学科主题学习。</w:t>
      </w:r>
    </w:p>
    <w:p w14:paraId="62713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书中用水果隐喻直观区分三类知识组合形态：拼学科如同水果拼盘，学科孤立存在、互不关联；多学科如同水果图景，视角多元但未深度融合；跨学科如同混合果汁，学科深度整合并产生全新成果。同时，跨学科学习有五大核心要点：具备真实问题导向、依托合适学习载体、立足多学科基础、强调探究与创造、最终形成整合性理解。</w:t>
      </w:r>
    </w:p>
    <w:p w14:paraId="0ABED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此次学习让我认识到，跨学科学习并非简单拼接学科内容，而是以真实问题驱动，打破静态知识观，促进知识网络化、动态化发展。在今后教学中，我将立足学科本质，合理设计学习载体，避免为 “跨” 而 “跨”，引导学生运用多学科思维解决复杂问题，提升综合素养与创新能力，真正落实新课改理念。</w:t>
      </w:r>
    </w:p>
    <w:p w14:paraId="63445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EC0C1E"/>
    <w:rsid w:val="5EEC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2026-05-08T06:56:00Z</dcterms:created>
  <dc:creator>WYQ</dc:creator>
  <cp:lastModifiedBy>WYQ</cp:lastModifiedBy>
  <dcterms:modified xsi:type="dcterms:W3CDTF">2026-05-08T06:59:20Z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6375B3D45B684DC0834F055A2B754507_11</vt:lpwstr>
  </property>
  <property fmtid="{D5CDD505-2E9C-101B-9397-08002B2CF9AE}" pid="4" name="KSOTemplateDocerSaveRecord">
    <vt:lpwstr>eyJoZGlkIjoiNGI5OTM2ZmQ2ZWEyYjlkYTYxMTI2NjJjNDMzNTMxNDMiLCJ1c2VySWQiOiIxMDgzODY2ODc4In0=</vt:lpwstr>
  </property>
</Properties>
</file>