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5B40D">
      <w:pPr>
        <w:pStyle w:val="2"/>
      </w:pPr>
      <w:r>
        <w:t>当下学习困难学生心理发展特点及教育矫正措施研究</w:t>
      </w:r>
    </w:p>
    <w:p w14:paraId="15CDEE54">
      <w:pPr>
        <w:pStyle w:val="3"/>
        <w:jc w:val="center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2026年春季学期课题结题总结</w:t>
      </w:r>
    </w:p>
    <w:p w14:paraId="3943BF4C">
      <w:pPr>
        <w:pStyle w:val="16"/>
        <w:ind w:firstLine="5503" w:firstLineChars="2500"/>
      </w:pPr>
      <w:r>
        <w:rPr>
          <w:b/>
          <w:bCs/>
        </w:rPr>
        <w:t>课题负责人</w:t>
      </w:r>
      <w:r>
        <w:t>：陈丽君</w:t>
      </w:r>
      <w:r>
        <w:rPr>
          <w:rFonts w:hint="eastAsia"/>
          <w:lang w:val="en-US" w:eastAsia="zh-CN"/>
        </w:rPr>
        <w:t xml:space="preserve">  </w:t>
      </w:r>
      <w:r>
        <w:t>陈英颖</w:t>
      </w:r>
    </w:p>
    <w:p w14:paraId="3F9DA99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一、课题研究概况</w:t>
      </w:r>
      <w:bookmarkStart w:id="0" w:name="_GoBack"/>
      <w:bookmarkEnd w:id="0"/>
    </w:p>
    <w:p w14:paraId="660DA31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本课题《当下学习困难学生心理发展特点及教育矫正措施研究》自202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年秋季学期启动，历经基础调研、机制解析、干预试点、优化完善、结题收官五个阶段，至2026年春季学期全面完成研究任务并顺利结题。课题以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学习困难学生心理发展特征、影响机制与教育矫正策略</w:t>
      </w:r>
      <w:r>
        <w:rPr>
          <w:rFonts w:hint="eastAsia" w:ascii="宋体" w:hAnsi="宋体" w:eastAsia="宋体" w:cs="宋体"/>
          <w:sz w:val="24"/>
          <w:szCs w:val="24"/>
        </w:rPr>
        <w:t>为核心，采用量化评估、质性分析、行动研究相结合的方法，覆盖小学、初中、高中多学段，先后纳入85名基础研究对象、600名大样本调研对象及多所试点学校，系统揭示学习困难学生心理发展规律，构建本土化、可操作、可复制的三级分类教育矫正体系，为基础教育阶段学习困难学生精准支持提供理论依据与实践范式。</w:t>
      </w:r>
    </w:p>
    <w:p w14:paraId="2E834B1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2026年春季学期作为课题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最终结题阶段</w:t>
      </w:r>
      <w:r>
        <w:rPr>
          <w:rFonts w:hint="eastAsia" w:ascii="宋体" w:hAnsi="宋体" w:eastAsia="宋体" w:cs="宋体"/>
          <w:sz w:val="24"/>
          <w:szCs w:val="24"/>
        </w:rPr>
        <w:t>，重点完成终期数据测评、长效效果验证、研究成果整合、结题材料汇编、专家评审答辩与成果推广应用六大核心任务，全面梳理研究历程、系统提炼研究结论、固化实践成果，实现课题研究闭环。</w:t>
      </w:r>
    </w:p>
    <w:p w14:paraId="0E3A0EF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二、本学期结题工作实施情况</w:t>
      </w:r>
    </w:p>
    <w:p w14:paraId="572065D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（一）终期数据采集与长效效果检验</w:t>
      </w:r>
    </w:p>
    <w:p w14:paraId="7861C9F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学期完成干预组与对照组终期测评，覆盖注意力、执行功能、学习动机、情绪状态、自我效能感、课堂参与度、同伴关系、学业表现等核心指标；对2025年春季学期试点对象开展追踪复测，检验干预长效性；补充农村学校、随迁子女学校及高中阶段数据，完善全域数据库。运用SPSS、AMOS完成统计建模与差异检验，验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家庭教养方式—自我效能感—学习投入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教师期待—归因方式—情绪状态</w:t>
      </w:r>
      <w:r>
        <w:rPr>
          <w:rFonts w:hint="eastAsia" w:ascii="宋体" w:hAnsi="宋体" w:eastAsia="宋体" w:cs="宋体"/>
          <w:sz w:val="24"/>
          <w:szCs w:val="24"/>
        </w:rPr>
        <w:t>关键影响路径，形成终期数据报告与干预效果验证报告，数据结果显示干预措施具有显著正向效应与长效性。</w:t>
      </w:r>
    </w:p>
    <w:p w14:paraId="0BA2E9A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（二）教育矫正体系最终优化定型</w:t>
      </w:r>
    </w:p>
    <w:p w14:paraId="127A5D4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在前期研究基础上，整合2024秋、2025春两轮成果，形成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一级基础支持、二级分类矫正、三级精准赋能</w:t>
      </w:r>
      <w:r>
        <w:rPr>
          <w:rFonts w:hint="eastAsia" w:ascii="宋体" w:hAnsi="宋体" w:eastAsia="宋体" w:cs="宋体"/>
          <w:sz w:val="24"/>
          <w:szCs w:val="24"/>
        </w:rPr>
        <w:t>的最终版教育矫正体系。一级干预聚焦筛查建档、课堂支持、家校沟通标准化；二级干预针对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动力型、情绪型、学业型</w:t>
      </w:r>
      <w:r>
        <w:rPr>
          <w:rFonts w:hint="eastAsia" w:ascii="宋体" w:hAnsi="宋体" w:eastAsia="宋体" w:cs="宋体"/>
          <w:sz w:val="24"/>
          <w:szCs w:val="24"/>
        </w:rPr>
        <w:t>三类学习困难学生实施差异化策略；三级干预融入AI学业诊断、注意力训练、学习策略指导与家庭系统支持。编制完成《教师操作手册》《家长指导手册》《校本化实施细则》，形成全链条、可直接落地的实践工具包。</w:t>
      </w:r>
    </w:p>
    <w:p w14:paraId="4C3C362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（三）研究成果全面整合与提炼</w:t>
      </w:r>
    </w:p>
    <w:p w14:paraId="12DF9A4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学期系统梳理全周期成果，完成《课题研究总报告》《心理发展机制与影响因素最终分析报告》《三级分类干预体系验证报告》三份核心报告；整理发表学术论文2篇；提炼学习困难学生三类典型心理画像与影响机制图谱；汇编典型个案集、过程材料集、培训课件、家校沟通模板等实践成果；形成《区域学习困难学生教育支持实施建议》政策稿，为教育管理部门提供决策参考。</w:t>
      </w:r>
    </w:p>
    <w:p w14:paraId="40A01A6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（四）结题材料规范整理与评审答辩</w:t>
      </w:r>
    </w:p>
    <w:p w14:paraId="1568382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严格按照课题管理要求，完成开题报告、中期报告、学期总结、调研工具、数据报告、干预方案、成果材料、专家意见、活动记录等全套资料整理、排版、装订与电子版归档。组织内部审核与专家预评审，根据意见修改完善后提交结题申请，顺利完成结题答辩，专家评审组一致认为本课题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研究扎实、方法科学、成果系统、应用价值高</w:t>
      </w:r>
      <w:r>
        <w:rPr>
          <w:rFonts w:hint="eastAsia" w:ascii="宋体" w:hAnsi="宋体" w:eastAsia="宋体" w:cs="宋体"/>
          <w:sz w:val="24"/>
          <w:szCs w:val="24"/>
        </w:rPr>
        <w:t>，同意通过结题鉴定。</w:t>
      </w:r>
    </w:p>
    <w:p w14:paraId="3A865CF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（五）成果推广与长效机制建设</w:t>
      </w:r>
    </w:p>
    <w:p w14:paraId="4DC13FD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本学期开展成果校内展示、教师专项培训、家长公益讲座、课堂观摩与经验交流活动，推动干预体系纳入试点学校心理健康教育、班级管理与家校共育常规工作，建立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教师主导、家长配合、学生自主、数据支撑</w:t>
      </w:r>
      <w:r>
        <w:rPr>
          <w:rFonts w:hint="eastAsia" w:ascii="宋体" w:hAnsi="宋体" w:eastAsia="宋体" w:cs="宋体"/>
          <w:sz w:val="24"/>
          <w:szCs w:val="24"/>
        </w:rPr>
        <w:t>的常态化支持机制，形成可复制、可推广的校本模式。</w:t>
      </w:r>
    </w:p>
    <w:p w14:paraId="61B2C8E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三、课题核心研究结论</w:t>
      </w:r>
    </w:p>
    <w:p w14:paraId="3C163AD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（一）学习困难学生心理发展特点</w:t>
      </w:r>
    </w:p>
    <w:p w14:paraId="40BA4AD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认知层面</w:t>
      </w:r>
      <w:r>
        <w:rPr>
          <w:rFonts w:hint="eastAsia" w:ascii="宋体" w:hAnsi="宋体" w:eastAsia="宋体" w:cs="宋体"/>
          <w:sz w:val="24"/>
          <w:szCs w:val="24"/>
        </w:rPr>
        <w:t>：注意力分散、执行功能薄弱、工作记忆不足、学习策略缺乏是核心缺陷，小学阶段尤为突出。</w:t>
      </w:r>
    </w:p>
    <w:p w14:paraId="590D484B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情绪层面</w:t>
      </w:r>
      <w:r>
        <w:rPr>
          <w:rFonts w:hint="eastAsia" w:ascii="宋体" w:hAnsi="宋体" w:eastAsia="宋体" w:cs="宋体"/>
          <w:sz w:val="24"/>
          <w:szCs w:val="24"/>
        </w:rPr>
        <w:t>：焦虑、抑郁倾向显著，自我效能感低下，易产生挫败感与习得性无助。</w:t>
      </w:r>
    </w:p>
    <w:p w14:paraId="09DEF5FB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动机层面</w:t>
      </w:r>
      <w:r>
        <w:rPr>
          <w:rFonts w:hint="eastAsia" w:ascii="宋体" w:hAnsi="宋体" w:eastAsia="宋体" w:cs="宋体"/>
          <w:sz w:val="24"/>
          <w:szCs w:val="24"/>
        </w:rPr>
        <w:t>：内部学习动机不足，外部归因明显，呈现“高挫败—低投入”的动力困境。</w:t>
      </w:r>
    </w:p>
    <w:p w14:paraId="17459AC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社会适应层面</w:t>
      </w:r>
      <w:r>
        <w:rPr>
          <w:rFonts w:hint="eastAsia" w:ascii="宋体" w:hAnsi="宋体" w:eastAsia="宋体" w:cs="宋体"/>
          <w:sz w:val="24"/>
          <w:szCs w:val="24"/>
        </w:rPr>
        <w:t>：同伴接纳度偏低，易出现退缩或攻击行为，社交支持系统薄弱。</w:t>
      </w:r>
    </w:p>
    <w:p w14:paraId="2EF17C7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学段差异</w:t>
      </w:r>
      <w:r>
        <w:rPr>
          <w:rFonts w:hint="eastAsia" w:ascii="宋体" w:hAnsi="宋体" w:eastAsia="宋体" w:cs="宋体"/>
          <w:sz w:val="24"/>
          <w:szCs w:val="24"/>
        </w:rPr>
        <w:t>：小学以认知缺陷为主，初中以情绪与动机问题突出，高中表现为学习倦怠与目标缺失。</w:t>
      </w:r>
    </w:p>
    <w:p w14:paraId="1D095FB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（二）关键影响机制</w:t>
      </w:r>
    </w:p>
    <w:p w14:paraId="459CEB9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家庭教养方式、教师期待、校园氛围通过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自我效能感、归因方式、情绪调节</w:t>
      </w:r>
      <w:r>
        <w:rPr>
          <w:rFonts w:hint="eastAsia" w:ascii="宋体" w:hAnsi="宋体" w:eastAsia="宋体" w:cs="宋体"/>
          <w:sz w:val="24"/>
          <w:szCs w:val="24"/>
        </w:rPr>
        <w:t>间接影响学习投入与学业表现，形成“负面环境—消极认知—行为退缩—学业失败”的循环路径，家庭情绪氛围与教师正向支持是关键调节变量。</w:t>
      </w:r>
    </w:p>
    <w:p w14:paraId="53A0221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（三）教育矫正体系有效性</w:t>
      </w:r>
    </w:p>
    <w:p w14:paraId="203BB72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本课题构建的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三级分类干预体系</w:t>
      </w:r>
      <w:r>
        <w:rPr>
          <w:rFonts w:hint="eastAsia" w:ascii="宋体" w:hAnsi="宋体" w:eastAsia="宋体" w:cs="宋体"/>
          <w:sz w:val="24"/>
          <w:szCs w:val="24"/>
        </w:rPr>
        <w:t>能够显著提升学习困难学生注意力水平、情绪稳定性、学习主动性与课堂参与度，有效改善自我效能感与同伴关系，干预效果显著优于传统辅导模式，具备本土化适配性与推广价值。</w:t>
      </w:r>
    </w:p>
    <w:p w14:paraId="736D333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四、主要创新点</w:t>
      </w:r>
    </w:p>
    <w:p w14:paraId="62ABC9D8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研究视角创新</w:t>
      </w:r>
      <w:r>
        <w:rPr>
          <w:rFonts w:hint="eastAsia" w:ascii="宋体" w:hAnsi="宋体" w:eastAsia="宋体" w:cs="宋体"/>
          <w:sz w:val="24"/>
          <w:szCs w:val="24"/>
        </w:rPr>
        <w:t>：从静态特征描述转向动态机制解析，明确多因素交互路径，揭示学期中期心理波动规律。</w:t>
      </w:r>
    </w:p>
    <w:p w14:paraId="0B23AA2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干预模式创新</w:t>
      </w:r>
      <w:r>
        <w:rPr>
          <w:rFonts w:hint="eastAsia" w:ascii="宋体" w:hAnsi="宋体" w:eastAsia="宋体" w:cs="宋体"/>
          <w:sz w:val="24"/>
          <w:szCs w:val="24"/>
        </w:rPr>
        <w:t>：构建适合中国班级授课制的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三级分类协同干预体系</w:t>
      </w:r>
      <w:r>
        <w:rPr>
          <w:rFonts w:hint="eastAsia" w:ascii="宋体" w:hAnsi="宋体" w:eastAsia="宋体" w:cs="宋体"/>
          <w:sz w:val="24"/>
          <w:szCs w:val="24"/>
        </w:rPr>
        <w:t>，实现全员覆盖、分类精准、技术赋能。</w:t>
      </w:r>
    </w:p>
    <w:p w14:paraId="3267120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实践路径创新</w:t>
      </w:r>
      <w:r>
        <w:rPr>
          <w:rFonts w:hint="eastAsia" w:ascii="宋体" w:hAnsi="宋体" w:eastAsia="宋体" w:cs="宋体"/>
          <w:sz w:val="24"/>
          <w:szCs w:val="24"/>
        </w:rPr>
        <w:t>：形成教师、家长、学生三方协同流程，成果轻量化、易操作、可常态化落地。</w:t>
      </w:r>
    </w:p>
    <w:p w14:paraId="2CC4C9BC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成果体系创新</w:t>
      </w:r>
      <w:r>
        <w:rPr>
          <w:rFonts w:hint="eastAsia" w:ascii="宋体" w:hAnsi="宋体" w:eastAsia="宋体" w:cs="宋体"/>
          <w:sz w:val="24"/>
          <w:szCs w:val="24"/>
        </w:rPr>
        <w:t>：理论报告、操作手册、工具包、政策建议一体化输出，兼顾学术价值与应用价值。</w:t>
      </w:r>
    </w:p>
    <w:p w14:paraId="7D3192F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五、研究存在的不足</w:t>
      </w:r>
    </w:p>
    <w:p w14:paraId="00812F2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样本仍以城市学校为主，农村与偏远地区覆盖面有限，高中阶段样本量不足。</w:t>
      </w:r>
    </w:p>
    <w:p w14:paraId="63476175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干预周期虽实现长期追踪，但神经生理、脑科学等深层机制研究仍有拓展空间。</w:t>
      </w:r>
    </w:p>
    <w:p w14:paraId="20970F0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技术融合深度有待加强，AI精准诊断与个性化训练尚未形成全自动化闭环。</w:t>
      </w:r>
    </w:p>
    <w:p w14:paraId="35B2F44C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成果区域推广范围有限，规模化应用效果与长效性仍需持续跟踪。</w:t>
      </w:r>
    </w:p>
    <w:p w14:paraId="783DDD6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六、后续研究与推广建议</w:t>
      </w:r>
    </w:p>
    <w:p w14:paraId="542923F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扩大研究范围</w:t>
      </w:r>
      <w:r>
        <w:rPr>
          <w:rFonts w:hint="eastAsia" w:ascii="宋体" w:hAnsi="宋体" w:eastAsia="宋体" w:cs="宋体"/>
          <w:sz w:val="24"/>
          <w:szCs w:val="24"/>
        </w:rPr>
        <w:t>：增加农村、偏远地区、特殊教育学校样本，开展跨区域、长周期追踪研究。</w:t>
      </w:r>
    </w:p>
    <w:p w14:paraId="33B8CC3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深化机制研究</w:t>
      </w:r>
      <w:r>
        <w:rPr>
          <w:rFonts w:hint="eastAsia" w:ascii="宋体" w:hAnsi="宋体" w:eastAsia="宋体" w:cs="宋体"/>
          <w:sz w:val="24"/>
          <w:szCs w:val="24"/>
        </w:rPr>
        <w:t>：结合认知神经科学方法，探索学习困难学生认知加工的生理机制。</w:t>
      </w:r>
    </w:p>
    <w:p w14:paraId="1379257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强化技术赋能</w:t>
      </w:r>
      <w:r>
        <w:rPr>
          <w:rFonts w:hint="eastAsia" w:ascii="宋体" w:hAnsi="宋体" w:eastAsia="宋体" w:cs="宋体"/>
          <w:sz w:val="24"/>
          <w:szCs w:val="24"/>
        </w:rPr>
        <w:t>：完善AI学业诊断平台，开发自动化干预推送系统，提升精准度。</w:t>
      </w:r>
    </w:p>
    <w:p w14:paraId="3159159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推动成果落地</w:t>
      </w:r>
      <w:r>
        <w:rPr>
          <w:rFonts w:hint="eastAsia" w:ascii="宋体" w:hAnsi="宋体" w:eastAsia="宋体" w:cs="宋体"/>
          <w:sz w:val="24"/>
          <w:szCs w:val="24"/>
        </w:rPr>
        <w:t>：将干预方案纳入区域教师培训与校本课程，形成区域教育支持政策。</w:t>
      </w:r>
    </w:p>
    <w:p w14:paraId="5D4B62E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构建长效生态</w:t>
      </w:r>
      <w:r>
        <w:rPr>
          <w:rFonts w:hint="eastAsia" w:ascii="宋体" w:hAnsi="宋体" w:eastAsia="宋体" w:cs="宋体"/>
          <w:sz w:val="24"/>
          <w:szCs w:val="24"/>
        </w:rPr>
        <w:t>：建立学校、家庭、社会协同支持体系，持续为学习困难学生提供专业化、常态化保障。</w:t>
      </w:r>
    </w:p>
    <w:p w14:paraId="4A9557B8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结语</w:t>
      </w:r>
    </w:p>
    <w:p w14:paraId="2849FC5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本课题自启动至2026年春季学期结题，历时近两年，始终以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服务学生、立足实践、科学精准</w:t>
      </w:r>
      <w:r>
        <w:rPr>
          <w:rFonts w:hint="eastAsia" w:ascii="宋体" w:hAnsi="宋体" w:eastAsia="宋体" w:cs="宋体"/>
          <w:sz w:val="24"/>
          <w:szCs w:val="24"/>
        </w:rPr>
        <w:t>为导向，系统揭示学习困难学生心理发展规律，构建成熟可推广的教育矫正体系，完成全部研究任务与结题工作。课题成果不仅为一线教师、家长提供可操作的支持工具，也为融合教育与教育公平政策制定提供实证依据。未来，课题组将持续深耕学习困难学生教育支持领域，推动研究成果常态化、规模化应用，用科学、温暖、精准的教育守护每一位学生成长，助力基础教育高质量发展。</w:t>
      </w:r>
    </w:p>
    <w:p w14:paraId="073A48C6">
      <w:pPr>
        <w:pStyle w:val="16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14BDB6"/>
    <w:multiLevelType w:val="singleLevel"/>
    <w:tmpl w:val="C714BDB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E983B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2599</Words>
  <Characters>2646</Characters>
  <TotalTime>6</TotalTime>
  <ScaleCrop>false</ScaleCrop>
  <LinksUpToDate>false</LinksUpToDate>
  <CharactersWithSpaces>2647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2026-05-28T06:04:00Z</dcterms:created>
  <dc:creator>Un-named</dc:creator>
  <cp:lastModifiedBy>陈丽君</cp:lastModifiedBy>
  <dcterms:modified xsi:type="dcterms:W3CDTF">2026-05-28T06:11:59Z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eyJoZGlkIjoiZDQwNzZhNTI3NzlkZDJjMjhlZDQyNTEwMjZlMmIyYzkiLCJ1c2VySWQiOiIzNDU1MzQ4NDYifQ==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1B58FA4010904D49AF5A4D497B063C4E_13</vt:lpwstr>
  </property>
</Properties>
</file>