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D2198">
      <w:pPr>
        <w:ind w:firstLine="1440" w:firstLineChars="400"/>
        <w:jc w:val="both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/>
          <w:sz w:val="36"/>
          <w:szCs w:val="36"/>
        </w:rPr>
        <w:t>色彩魔法《点彩游戏》美术课报道</w:t>
      </w:r>
      <w:bookmarkStart w:id="0" w:name="_GoBack"/>
      <w:bookmarkEnd w:id="0"/>
    </w:p>
    <w:p w14:paraId="2141E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Cs w:val="0"/>
          <w:sz w:val="24"/>
          <w:szCs w:val="24"/>
          <w:lang w:eastAsia="zh-CN"/>
        </w:rPr>
        <w:t>今天</w:t>
      </w:r>
      <w:r>
        <w:rPr>
          <w:rFonts w:hint="eastAsia" w:asciiTheme="minorEastAsia" w:hAnsiTheme="minorEastAsia" w:cstheme="minorEastAsia"/>
          <w:bCs w:val="0"/>
          <w:sz w:val="24"/>
          <w:szCs w:val="24"/>
          <w:lang w:val="en-US" w:eastAsia="zh-CN"/>
        </w:rPr>
        <w:t>9月26日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上午第一节课庄云兰老师在三(3)班执教《点彩游戏》课题组研究课，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激发学生的艺术想象力和对色彩的感知力，本节课以《点彩游戏》为主题，引导孩子们走进了一场别开生面的色彩探索之旅。课堂上，老师首先向同学们介绍了点彩画派的奇妙历史，展示了如何不直接混合颜料，而是通过不同颜色的色点并置，在视觉上形成丰富的色彩效果。孩子们表现出极大的兴趣，他们以纸张为舞台，用画笔和棉签作为工具，让红、黄、蓝等一个个小色点跳跃在画纸上。他们精心布局，大胆尝试，原本简单的色点经过巧思妙想，逐渐汇聚成灿烂的星空、缤纷的花园和可爱的动物。本次活动不仅是一堂有趣的美术课，更是一次成功的科学探究。学生们在动手实践中亲手验证了色彩混合的视觉规律，深刻体会到“整体由局部构成”的艺术哲理。课堂充满了欢声笑语，孩子们在玩中学，在学中玩，每一幅作品都闪耀着独特的创造力和纯真的童趣，充分展现了我校美育教育的丰硕成果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 w14:paraId="2F89E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sz w:val="24"/>
          <w:szCs w:val="24"/>
          <w:lang w:val="en-US" w:eastAsia="zh-CN"/>
        </w:rPr>
        <w:t>第二节课庄云兰老师在书法室又进行了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《核心素养导向的美术大单元作业设计案例》一书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《基于核心素养的大单元作业设计研究》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的讲座。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系统性地构建了新时代美育作业设计的理论框架与实操体系。该序言文章精准地切入当前美术教育的改革核心，明确指出作业设计不应是零散知识的简单重复，而应是承载核心素养培育的重要载体。文章深入浅出地剖析了如何围绕“图像识读、美术表现、审美判断、创意实践、文化理解”五大核心素养，对教学内容进行整合、重组与再创造，设计出具有启发性、关联性和成长性的单元作业。</w:t>
      </w:r>
    </w:p>
    <w:p w14:paraId="3C539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文章进一步强调了“大单元”教学的整体观，倡导教师引导学生像艺术家一样思考，在贯穿始终的主题项目中进行深度学习与探究。这种设计不仅打破了单课时的局限，更注重学生在完成作业过程中的思维发展、情感体验和能力进阶，为实现“立德树人”与“以美育人”的目标提供了清晰可行的路径。该研究的分享，标志着我校在美术教育的专业化与科学化发展上进入了新阶段，为全面提升艺术课程教学质量奠定了坚实的理论基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51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2025-09-17T01:40:44Z</dcterms:created>
  <dc:creator>Administrator.MS-BYRKELDOEFZG</dc:creator>
  <cp:lastModifiedBy>Administrator</cp:lastModifiedBy>
  <dcterms:modified xsi:type="dcterms:W3CDTF">2025-09-17T02:01:29Z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eyJoZGlkIjoiMjVhNjQ2Y2FmZWJkMGI0ZWRkNDNjMTIzNWMxZDM3OGYifQ==</vt:lpwstr>
  </property>
  <property fmtid="{D5CDD505-2E9C-101B-9397-08002B2CF9AE}" pid="4" name="ICV">
    <vt:lpwstr>8F91DCE466804E0B9AC4B64AE9C6C1BB_12</vt:lpwstr>
  </property>
</Properties>
</file>